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1</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hint="eastAsia" w:ascii="Times New Roman" w:hAnsi="Times New Roman" w:cs="Times New Roman"/>
          <w:b/>
          <w:sz w:val="24"/>
          <w:szCs w:val="24"/>
          <w:lang w:val="en-US" w:eastAsia="zh-CN"/>
        </w:rPr>
        <w:t>301850</w:t>
      </w:r>
      <w:bookmarkStart w:id="5" w:name="_GoBack"/>
      <w:bookmarkEnd w:id="5"/>
    </w:p>
    <w:p>
      <w:pPr>
        <w:outlineLvl w:val="0"/>
        <w:rPr>
          <w:rFonts w:ascii="Times New Roman" w:hAnsi="Times New Roman" w:cs="Times New Roman"/>
          <w:b/>
          <w:sz w:val="24"/>
          <w:szCs w:val="24"/>
        </w:rPr>
      </w:pPr>
      <w:r>
        <w:rPr>
          <w:rFonts w:ascii="Times New Roman" w:hAnsi="Times New Roman" w:cs="Times New Roman"/>
          <w:b/>
          <w:sz w:val="24"/>
          <w:szCs w:val="24"/>
        </w:rPr>
        <w:t xml:space="preserve">Athens, Greece, </w:t>
      </w:r>
      <w:r>
        <w:rPr>
          <w:rFonts w:hint="eastAsia" w:ascii="Times New Roman" w:hAnsi="Times New Roman" w:cs="Times New Roman"/>
          <w:b/>
          <w:sz w:val="24"/>
          <w:szCs w:val="24"/>
          <w:lang w:val="en-US" w:eastAsia="zh-CN"/>
        </w:rPr>
        <w:t>27</w:t>
      </w:r>
      <w:r>
        <w:rPr>
          <w:rFonts w:hint="eastAsia" w:ascii="Times New Roman" w:hAnsi="Times New Roman" w:cs="Times New Roman"/>
          <w:b/>
          <w:sz w:val="24"/>
          <w:szCs w:val="24"/>
          <w:vertAlign w:val="superscript"/>
          <w:lang w:val="en-US" w:eastAsia="zh-CN"/>
        </w:rPr>
        <w:t>th</w:t>
      </w:r>
      <w:r>
        <w:rPr>
          <w:rFonts w:hint="eastAsia" w:ascii="Times New Roman" w:hAnsi="Times New Roman" w:cs="Times New Roman"/>
          <w:b/>
          <w:sz w:val="24"/>
          <w:szCs w:val="24"/>
          <w:lang w:val="en-US" w:eastAsia="zh-CN"/>
        </w:rPr>
        <w:t xml:space="preserve"> </w:t>
      </w:r>
      <w:r>
        <w:rPr>
          <w:rFonts w:ascii="Times New Roman" w:hAnsi="Times New Roman" w:cs="Times New Roman"/>
          <w:b/>
          <w:sz w:val="24"/>
          <w:szCs w:val="24"/>
        </w:rPr>
        <w:t>Mar, 202</w:t>
      </w:r>
      <w:r>
        <w:rPr>
          <w:rFonts w:hint="eastAsia" w:ascii="Times New Roman" w:hAnsi="Times New Roman" w:cs="Times New Roman"/>
          <w:b/>
          <w:sz w:val="24"/>
          <w:szCs w:val="24"/>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Discussions on Protocol stack impacts from PUD Set</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2.4</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spacing w:after="120"/>
        <w:rPr>
          <w:rFonts w:hint="eastAsia"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hint="eastAsia" w:ascii="Times New Roman" w:hAnsi="Times New Roman" w:cs="Times New Roman"/>
          <w:bCs/>
          <w:lang w:val="en-US" w:eastAsia="zh-CN"/>
        </w:rPr>
      </w:pPr>
      <w:r>
        <w:rPr>
          <w:rFonts w:hint="eastAsia" w:ascii="Times New Roman" w:hAnsi="Times New Roman" w:cs="Times New Roman"/>
          <w:bCs/>
          <w:lang w:val="en-US" w:eastAsia="zh-CN"/>
        </w:rPr>
        <w:t>According to the newest TR 38.835, depending on the mapping of PDU Sets onto QoS flows and the mapping of QoS flows onto DRBs, there are 4 alternatives as illustrated in the Figure 1.</w:t>
      </w:r>
    </w:p>
    <w:p>
      <w:pPr>
        <w:spacing w:after="120" w:afterLines="50"/>
      </w:pPr>
      <w:r>
        <w:drawing>
          <wp:inline distT="0" distB="0" distL="0" distR="0">
            <wp:extent cx="6122035" cy="2163445"/>
            <wp:effectExtent l="0" t="0" r="444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pPr>
        <w:spacing w:after="120" w:afterLines="50"/>
        <w:jc w:val="center"/>
        <w:rPr>
          <w:rFonts w:hint="default" w:ascii="Times New Roman" w:hAnsi="Times New Roman" w:cs="Times New Roman"/>
          <w:bCs/>
          <w:lang w:val="en-US" w:eastAsia="zh-CN"/>
        </w:rPr>
      </w:pPr>
      <w:r>
        <w:rPr>
          <w:rFonts w:hint="eastAsia" w:ascii="Times New Roman" w:hAnsi="Times New Roman" w:cs="Times New Roman"/>
          <w:bCs/>
          <w:lang w:val="en-US" w:eastAsia="zh-CN"/>
        </w:rPr>
        <w:t>Figure 1</w:t>
      </w:r>
    </w:p>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discuss how the DRB(s) further map onto LCH(s) in RAN in detail</w:t>
      </w:r>
      <w:r>
        <w:rPr>
          <w:rFonts w:hint="eastAsia" w:ascii="Times New Roman" w:hAnsi="Times New Roman" w:cs="Times New Roman"/>
        </w:rPr>
        <w:t xml:space="preserve">.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3"/>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Mapping of PDU Set onto LCH</w:t>
      </w:r>
    </w:p>
    <w:p>
      <w:pPr>
        <w:spacing w:before="120" w:beforeLines="50"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According to the discussion and agreement in previous meeting, the alternative N1N has been excluded due to the complexity. For another 3 alternatives, the further mapping from DRB to LCH could have 5 alternatives as illustrated in the Figure2. </w:t>
      </w:r>
    </w:p>
    <w:p>
      <w:pPr>
        <w:ind w:left="0" w:leftChars="0" w:firstLine="0" w:firstLineChars="0"/>
        <w:jc w:val="center"/>
        <w:rPr>
          <w:rFonts w:hint="default" w:ascii="Times New Roman" w:hAnsi="Times New Roman" w:cs="Times New Roman"/>
          <w:lang w:val="en-US" w:eastAsia="zh-CN"/>
        </w:rPr>
      </w:pPr>
      <w:r>
        <w:rPr>
          <w:rFonts w:hint="default" w:ascii="Arial" w:hAnsi="Arial" w:eastAsia="宋体" w:cs="Arial"/>
          <w:sz w:val="21"/>
          <w:szCs w:val="22"/>
          <w:lang w:val="en-US" w:eastAsia="zh-CN"/>
        </w:rPr>
        <w:object>
          <v:shape id="_x0000_i1025" o:spt="75" type="#_x0000_t75" style="height:109.5pt;width:503.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r>
        <w:rPr>
          <w:rFonts w:hint="eastAsia" w:ascii="Times New Roman" w:hAnsi="Times New Roman" w:cs="Times New Roman"/>
          <w:lang w:val="en-US" w:eastAsia="zh-CN"/>
        </w:rPr>
        <w:t>Figure 2</w:t>
      </w:r>
    </w:p>
    <w:p>
      <w:pPr>
        <w:spacing w:before="120" w:beforeLines="50"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For the Alternative 3, and 5, current specifications can not differentiated and handle the PDU Set 1 and PDU Set 2 differently and some complicate enhancements could be needed for LCH handling to support the different QoS requirement for he PDU Set 1 and PDU Set 2. However, compared with Alternative 1, no benefit could be foreseen.</w:t>
      </w:r>
    </w:p>
    <w:p>
      <w:pPr>
        <w:spacing w:before="120" w:beforeLines="50" w:after="120" w:afterLines="50"/>
        <w:rPr>
          <w:rFonts w:hint="default" w:ascii="Times New Roman" w:hAnsi="Times New Roman" w:cs="Times New Roman"/>
          <w:lang w:val="en-US" w:eastAsia="zh-CN"/>
        </w:rPr>
      </w:pPr>
      <w:r>
        <w:rPr>
          <w:rFonts w:hint="eastAsia" w:ascii="Times New Roman" w:hAnsi="Times New Roman" w:cs="Times New Roman"/>
          <w:lang w:val="en-US" w:eastAsia="zh-CN"/>
        </w:rPr>
        <w:t>For Alternative 2 and 4, the DRB based on current specification should be enhanced to support multiple LCHs in one DRB and PDU Set identification for different LCH(s). However, from the mapping of PDU Set to LCH, this mapping framework is essentially the same as alternative 1</w:t>
      </w:r>
      <w:r>
        <w:rPr>
          <w:rFonts w:hint="eastAsia" w:ascii="Times New Roman" w:hAnsi="Times New Roman" w:cs="Times New Roman"/>
          <w:lang w:val="en-US" w:eastAsia="zh-CN"/>
        </w:rPr>
        <w:t>.</w:t>
      </w:r>
    </w:p>
    <w:p>
      <w:pPr>
        <w:spacing w:before="120" w:beforeLines="50" w:after="120" w:afterLines="50"/>
        <w:rPr>
          <w:rFonts w:hint="default" w:ascii="Times New Roman" w:hAnsi="Times New Roman" w:cs="Times New Roman" w:eastAsiaTheme="minorEastAsia"/>
          <w:b/>
          <w:bCs/>
          <w:i/>
          <w:iCs/>
          <w:szCs w:val="21"/>
          <w:highlight w:val="none"/>
          <w:lang w:val="en-US" w:eastAsia="zh-CN"/>
        </w:rPr>
      </w:pPr>
      <w:r>
        <w:rPr>
          <w:rFonts w:hint="eastAsia" w:ascii="Times New Roman" w:hAnsi="Times New Roman" w:cs="Times New Roman"/>
          <w:b/>
          <w:bCs/>
          <w:i/>
          <w:iCs/>
          <w:szCs w:val="21"/>
          <w:highlight w:val="none"/>
        </w:rPr>
        <w:t xml:space="preserve">Proposal </w:t>
      </w:r>
      <w:r>
        <w:rPr>
          <w:rFonts w:hint="eastAsia" w:ascii="Times New Roman" w:hAnsi="Times New Roman" w:cs="Times New Roman"/>
          <w:b/>
          <w:bCs/>
          <w:i/>
          <w:iCs/>
          <w:szCs w:val="21"/>
          <w:highlight w:val="none"/>
          <w:lang w:val="en-US" w:eastAsia="zh-CN"/>
        </w:rPr>
        <w:t>1</w:t>
      </w:r>
      <w:r>
        <w:rPr>
          <w:rFonts w:hint="eastAsia" w:ascii="Times New Roman" w:hAnsi="Times New Roman" w:cs="Times New Roman"/>
          <w:b/>
          <w:bCs/>
          <w:i/>
          <w:iCs/>
          <w:szCs w:val="21"/>
          <w:highlight w:val="none"/>
        </w:rPr>
        <w:t xml:space="preserve">: </w:t>
      </w:r>
      <w:r>
        <w:rPr>
          <w:rFonts w:hint="eastAsia" w:ascii="Times New Roman" w:hAnsi="Times New Roman" w:cs="Times New Roman"/>
          <w:b/>
          <w:bCs/>
          <w:i/>
          <w:iCs/>
          <w:szCs w:val="21"/>
          <w:highlight w:val="none"/>
          <w:lang w:val="en-US" w:eastAsia="zh-CN"/>
        </w:rPr>
        <w:t>RAN2 to adopt the Alternative 1 which is corresponding to the Alternative 111 as the Layer 2 structure</w:t>
      </w:r>
    </w:p>
    <w:p>
      <w:pPr>
        <w:pStyle w:val="3"/>
        <w:numPr>
          <w:ilvl w:val="1"/>
          <w:numId w:val="3"/>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D</w:t>
      </w:r>
      <w:r>
        <w:rPr>
          <w:rFonts w:ascii="Times New Roman" w:hAnsi="Times New Roman" w:cs="Times New Roman"/>
          <w:sz w:val="24"/>
          <w:szCs w:val="24"/>
        </w:rPr>
        <w:t>elivery to higher layers</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color w:val="000000" w:themeColor="text1"/>
          <w14:textFill>
            <w14:solidFill>
              <w14:schemeClr w14:val="tx1"/>
            </w14:solidFill>
          </w14:textFill>
        </w:rPr>
        <w:t xml:space="preserve">As well known, as a typical video and audio service, the application client of XR service may handle the jitter </w:t>
      </w:r>
      <w:r>
        <w:rPr>
          <w:rFonts w:hint="eastAsia" w:ascii="Times New Roman" w:hAnsi="Times New Roman" w:cs="Times New Roman"/>
          <w:color w:val="000000" w:themeColor="text1"/>
          <w:lang w:val="en-US" w:eastAsia="zh-CN"/>
          <w14:textFill>
            <w14:solidFill>
              <w14:schemeClr w14:val="tx1"/>
            </w14:solidFill>
          </w14:textFill>
        </w:rPr>
        <w:t xml:space="preserve">and disorder </w:t>
      </w:r>
      <w:r>
        <w:rPr>
          <w:rFonts w:hint="eastAsia" w:ascii="Times New Roman" w:hAnsi="Times New Roman" w:cs="Times New Roman"/>
          <w:color w:val="000000" w:themeColor="text1"/>
          <w14:textFill>
            <w14:solidFill>
              <w14:schemeClr w14:val="tx1"/>
            </w14:solidFill>
          </w14:textFill>
        </w:rPr>
        <w:t>by buffer</w:t>
      </w:r>
      <w:r>
        <w:rPr>
          <w:rFonts w:hint="eastAsia" w:ascii="Times New Roman" w:hAnsi="Times New Roman" w:cs="Times New Roman"/>
          <w:color w:val="000000" w:themeColor="text1"/>
          <w:lang w:val="en-US" w:eastAsia="zh-CN"/>
          <w14:textFill>
            <w14:solidFill>
              <w14:schemeClr w14:val="tx1"/>
            </w14:solidFill>
          </w14:textFill>
        </w:rPr>
        <w:t>s</w:t>
      </w:r>
      <w:r>
        <w:rPr>
          <w:rFonts w:hint="eastAsia" w:ascii="Times New Roman" w:hAnsi="Times New Roman" w:cs="Times New Roman"/>
          <w:color w:val="000000" w:themeColor="text1"/>
          <w14:textFill>
            <w14:solidFill>
              <w14:schemeClr w14:val="tx1"/>
            </w14:solidFill>
          </w14:textFill>
        </w:rPr>
        <w:t xml:space="preserve"> which may be variable and adaptive to the jitter</w:t>
      </w:r>
      <w:r>
        <w:rPr>
          <w:rFonts w:hint="eastAsia" w:ascii="Times New Roman" w:hAnsi="Times New Roman" w:cs="Times New Roman"/>
          <w:color w:val="000000" w:themeColor="text1"/>
          <w:lang w:val="en-US" w:eastAsia="zh-CN"/>
          <w14:textFill>
            <w14:solidFill>
              <w14:schemeClr w14:val="tx1"/>
            </w14:solidFill>
          </w14:textFill>
        </w:rPr>
        <w:t xml:space="preserve"> and disorder</w:t>
      </w:r>
      <w:r>
        <w:rPr>
          <w:rFonts w:hint="eastAsia" w:ascii="Times New Roman" w:hAnsi="Times New Roman" w:cs="Times New Roman"/>
          <w:color w:val="000000" w:themeColor="text1"/>
          <w14:textFill>
            <w14:solidFill>
              <w14:schemeClr w14:val="tx1"/>
            </w14:solidFill>
          </w14:textFill>
        </w:rPr>
        <w:t xml:space="preserve"> to some extent. Furthermore, the packets of </w:t>
      </w:r>
      <w:r>
        <w:rPr>
          <w:rFonts w:hint="eastAsia" w:ascii="Times New Roman" w:hAnsi="Times New Roman" w:cs="Times New Roman"/>
          <w:szCs w:val="21"/>
        </w:rPr>
        <w:t xml:space="preserve">the PDU Set for a frame should be decoded and decompressed as a whole, a buffer is essential for the packets arrived in advance </w:t>
      </w:r>
      <w:r>
        <w:rPr>
          <w:rFonts w:hint="eastAsia" w:ascii="Times New Roman" w:hAnsi="Times New Roman" w:cs="Times New Roman"/>
          <w:szCs w:val="21"/>
          <w:lang w:val="en-US" w:eastAsia="zh-CN"/>
        </w:rPr>
        <w:t xml:space="preserve">and disorder. </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sequence delivery could incur additional delay for the traffic data transmission, especially for the the applications that only part of PDUs are needed for decode and decompression, this additional delay could degrade the user experience significantly.</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Moreover, delivery to higher layer in sequence for the PDUs in a PDU Set may in the receiver may require the transmission in sequence in the transmitter and this could incur another additional delay without any benefits.</w:t>
      </w:r>
    </w:p>
    <w:p>
      <w:pPr>
        <w:spacing w:after="120" w:afterLines="50"/>
        <w:rPr>
          <w:rFonts w:hint="default" w:ascii="Arial" w:hAnsi="Arial" w:cs="Arial"/>
          <w:iCs w:val="0"/>
          <w:sz w:val="21"/>
          <w:szCs w:val="22"/>
          <w:highlight w:val="yellow"/>
          <w:lang w:val="en-US" w:eastAsia="zh-CN" w:bidi="ar-SA"/>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highlight w:val="none"/>
          <w:lang w:val="en-US" w:eastAsia="zh-CN"/>
        </w:rPr>
        <w:t>RAN2 to conclude that delivery to higher layers in sequence is not needed for PDU set.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 on SR configuration for XR uplink traffic as follows:</w:t>
      </w:r>
    </w:p>
    <w:p>
      <w:pPr>
        <w:spacing w:before="120" w:beforeLines="50" w:after="120" w:afterLines="50"/>
        <w:rPr>
          <w:rFonts w:hint="eastAsia" w:ascii="Times New Roman" w:hAnsi="Times New Roman" w:cs="Times New Roman"/>
          <w:b/>
          <w:bCs/>
          <w:i/>
          <w:iCs/>
          <w:szCs w:val="21"/>
          <w:highlight w:val="yellow"/>
          <w:lang w:val="en-US" w:eastAsia="zh-CN"/>
        </w:rPr>
      </w:pPr>
      <w:r>
        <w:rPr>
          <w:rFonts w:hint="eastAsia" w:ascii="Times New Roman" w:hAnsi="Times New Roman" w:cs="Times New Roman"/>
          <w:b/>
          <w:bCs/>
          <w:i/>
          <w:iCs/>
          <w:szCs w:val="21"/>
          <w:highlight w:val="none"/>
        </w:rPr>
        <w:t xml:space="preserve">Proposal </w:t>
      </w:r>
      <w:r>
        <w:rPr>
          <w:rFonts w:hint="eastAsia" w:ascii="Times New Roman" w:hAnsi="Times New Roman" w:cs="Times New Roman"/>
          <w:b/>
          <w:bCs/>
          <w:i/>
          <w:iCs/>
          <w:szCs w:val="21"/>
          <w:highlight w:val="none"/>
          <w:lang w:val="en-US" w:eastAsia="zh-CN"/>
        </w:rPr>
        <w:t>1</w:t>
      </w:r>
      <w:r>
        <w:rPr>
          <w:rFonts w:hint="eastAsia" w:ascii="Times New Roman" w:hAnsi="Times New Roman" w:cs="Times New Roman"/>
          <w:b/>
          <w:bCs/>
          <w:i/>
          <w:iCs/>
          <w:szCs w:val="21"/>
          <w:highlight w:val="none"/>
        </w:rPr>
        <w:t xml:space="preserve">: </w:t>
      </w:r>
      <w:r>
        <w:rPr>
          <w:rFonts w:hint="eastAsia" w:ascii="Times New Roman" w:hAnsi="Times New Roman" w:cs="Times New Roman"/>
          <w:b/>
          <w:bCs/>
          <w:i/>
          <w:iCs/>
          <w:szCs w:val="21"/>
          <w:highlight w:val="none"/>
          <w:lang w:val="en-US" w:eastAsia="zh-CN"/>
        </w:rPr>
        <w:t>RAN2 to adopt the Alternative 1 which is corresponding to the Alternative 111 as the Layer 2 structure</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highlight w:val="none"/>
          <w:lang w:val="en-US" w:eastAsia="zh-CN"/>
        </w:rPr>
        <w:t>RAN2 to conclude that delivery to higher layers in sequence is not needed for PDU set.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4"/>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p>
      <w:pPr>
        <w:widowControl/>
        <w:numPr>
          <w:ilvl w:val="0"/>
          <w:numId w:val="4"/>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3" w:name="specType1"/>
      <w:r>
        <w:rPr>
          <w:rFonts w:ascii="Times New Roman" w:hAnsi="Times New Roman" w:cs="Times New Roman"/>
        </w:rPr>
        <w:t>TR</w:t>
      </w:r>
      <w:bookmarkEnd w:id="3"/>
      <w:r>
        <w:rPr>
          <w:rFonts w:ascii="Times New Roman" w:hAnsi="Times New Roman" w:cs="Times New Roman"/>
        </w:rPr>
        <w:t xml:space="preserve"> </w:t>
      </w:r>
      <w:bookmarkStart w:id="4" w:name="specNumber"/>
      <w:r>
        <w:rPr>
          <w:rFonts w:ascii="Times New Roman" w:hAnsi="Times New Roman" w:cs="Times New Roman"/>
        </w:rPr>
        <w:t>38.</w:t>
      </w:r>
      <w:bookmarkEnd w:id="4"/>
      <w:r>
        <w:rPr>
          <w:rFonts w:ascii="Times New Roman" w:hAnsi="Times New Roman" w:cs="Times New Roman"/>
        </w:rPr>
        <w:t>835</w:t>
      </w:r>
      <w:r>
        <w:rPr>
          <w:rFonts w:hint="eastAsia" w:ascii="Times New Roman" w:hAnsi="Times New Roman" w:cs="Times New Roman"/>
          <w:lang w:val="en-US" w:eastAsia="zh-CN"/>
        </w:rPr>
        <w:t xml:space="preserve"> v1.0.0 :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3">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E13410"/>
    <w:rsid w:val="0568310D"/>
    <w:rsid w:val="05756793"/>
    <w:rsid w:val="05A47ACE"/>
    <w:rsid w:val="05BB24F7"/>
    <w:rsid w:val="072D40F1"/>
    <w:rsid w:val="074D2750"/>
    <w:rsid w:val="07522471"/>
    <w:rsid w:val="07FE2B1F"/>
    <w:rsid w:val="08FF7AB1"/>
    <w:rsid w:val="0A481A1C"/>
    <w:rsid w:val="0BB62E8D"/>
    <w:rsid w:val="0C110567"/>
    <w:rsid w:val="0C470E4F"/>
    <w:rsid w:val="0CAE5739"/>
    <w:rsid w:val="0D733868"/>
    <w:rsid w:val="0D9546F5"/>
    <w:rsid w:val="0DD51C7C"/>
    <w:rsid w:val="0DF57134"/>
    <w:rsid w:val="0E4A6F14"/>
    <w:rsid w:val="0E762255"/>
    <w:rsid w:val="0EF50B08"/>
    <w:rsid w:val="0F672DA8"/>
    <w:rsid w:val="0F723A91"/>
    <w:rsid w:val="10E32902"/>
    <w:rsid w:val="1109680C"/>
    <w:rsid w:val="130D0D24"/>
    <w:rsid w:val="13A42136"/>
    <w:rsid w:val="14C710A8"/>
    <w:rsid w:val="14CD7B51"/>
    <w:rsid w:val="160067D9"/>
    <w:rsid w:val="160846A5"/>
    <w:rsid w:val="163254BE"/>
    <w:rsid w:val="16D13B64"/>
    <w:rsid w:val="18072F3F"/>
    <w:rsid w:val="188B110E"/>
    <w:rsid w:val="18910936"/>
    <w:rsid w:val="18C221F9"/>
    <w:rsid w:val="197462BA"/>
    <w:rsid w:val="199F6F5F"/>
    <w:rsid w:val="19AE61A3"/>
    <w:rsid w:val="19BF4533"/>
    <w:rsid w:val="1A28231A"/>
    <w:rsid w:val="1A4E237A"/>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91805BC"/>
    <w:rsid w:val="2BD42BB5"/>
    <w:rsid w:val="2BE37795"/>
    <w:rsid w:val="2D804734"/>
    <w:rsid w:val="304B74EF"/>
    <w:rsid w:val="31696757"/>
    <w:rsid w:val="321F68F6"/>
    <w:rsid w:val="335229B5"/>
    <w:rsid w:val="33B8055B"/>
    <w:rsid w:val="34F9242A"/>
    <w:rsid w:val="353D648E"/>
    <w:rsid w:val="35584DBD"/>
    <w:rsid w:val="35834C4F"/>
    <w:rsid w:val="35F033B2"/>
    <w:rsid w:val="367B459C"/>
    <w:rsid w:val="36B02E3E"/>
    <w:rsid w:val="37871C5F"/>
    <w:rsid w:val="38C14F85"/>
    <w:rsid w:val="38EF3385"/>
    <w:rsid w:val="3A0E3D7F"/>
    <w:rsid w:val="3B0B0E31"/>
    <w:rsid w:val="3C5E1386"/>
    <w:rsid w:val="3C6A376B"/>
    <w:rsid w:val="3CAD3871"/>
    <w:rsid w:val="3D794C69"/>
    <w:rsid w:val="3E4459B8"/>
    <w:rsid w:val="3F6658E6"/>
    <w:rsid w:val="3F6F6A24"/>
    <w:rsid w:val="410C5707"/>
    <w:rsid w:val="411331B7"/>
    <w:rsid w:val="42A539CE"/>
    <w:rsid w:val="435C04A2"/>
    <w:rsid w:val="43FC748C"/>
    <w:rsid w:val="44093E52"/>
    <w:rsid w:val="446F1C68"/>
    <w:rsid w:val="45961716"/>
    <w:rsid w:val="471748B1"/>
    <w:rsid w:val="477E6B3A"/>
    <w:rsid w:val="487E765D"/>
    <w:rsid w:val="492522E2"/>
    <w:rsid w:val="49CE695A"/>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4A321E"/>
    <w:rsid w:val="639062F6"/>
    <w:rsid w:val="63C06196"/>
    <w:rsid w:val="63DD0CDE"/>
    <w:rsid w:val="64147AC3"/>
    <w:rsid w:val="649C3D0A"/>
    <w:rsid w:val="654C28BC"/>
    <w:rsid w:val="65A840EC"/>
    <w:rsid w:val="65F358C4"/>
    <w:rsid w:val="685376AF"/>
    <w:rsid w:val="68F57755"/>
    <w:rsid w:val="69523ACE"/>
    <w:rsid w:val="695F47F3"/>
    <w:rsid w:val="6A497336"/>
    <w:rsid w:val="6A7826DA"/>
    <w:rsid w:val="6B3C6A30"/>
    <w:rsid w:val="6CB06CB1"/>
    <w:rsid w:val="6CEB5ACA"/>
    <w:rsid w:val="6F2B2544"/>
    <w:rsid w:val="6F4060E9"/>
    <w:rsid w:val="70A04FBC"/>
    <w:rsid w:val="72041505"/>
    <w:rsid w:val="72A96205"/>
    <w:rsid w:val="740B2A1F"/>
    <w:rsid w:val="74566E86"/>
    <w:rsid w:val="75E74553"/>
    <w:rsid w:val="766F5BC7"/>
    <w:rsid w:val="772665FC"/>
    <w:rsid w:val="772B48E7"/>
    <w:rsid w:val="78610694"/>
    <w:rsid w:val="788A13BF"/>
    <w:rsid w:val="78A377B2"/>
    <w:rsid w:val="79E42D9A"/>
    <w:rsid w:val="7ABC00E2"/>
    <w:rsid w:val="7B503B8C"/>
    <w:rsid w:val="7B750BAA"/>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5"/>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6"/>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1"/>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2"/>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3"/>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4"/>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5"/>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6"/>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8"/>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2"/>
    <w:semiHidden/>
    <w:unhideWhenUsed/>
    <w:qFormat/>
    <w:uiPriority w:val="99"/>
    <w:pPr>
      <w:jc w:val="left"/>
    </w:pPr>
  </w:style>
  <w:style w:type="paragraph" w:styleId="13">
    <w:name w:val="Balloon Text"/>
    <w:basedOn w:val="1"/>
    <w:link w:val="44"/>
    <w:semiHidden/>
    <w:unhideWhenUsed/>
    <w:qFormat/>
    <w:uiPriority w:val="99"/>
    <w:rPr>
      <w:sz w:val="18"/>
      <w:szCs w:val="18"/>
    </w:rPr>
  </w:style>
  <w:style w:type="paragraph" w:styleId="14">
    <w:name w:val="footer"/>
    <w:basedOn w:val="1"/>
    <w:link w:val="41"/>
    <w:unhideWhenUsed/>
    <w:qFormat/>
    <w:uiPriority w:val="99"/>
    <w:pPr>
      <w:tabs>
        <w:tab w:val="center" w:pos="4153"/>
        <w:tab w:val="right" w:pos="8306"/>
      </w:tabs>
      <w:snapToGrid w:val="0"/>
      <w:jc w:val="left"/>
    </w:pPr>
    <w:rPr>
      <w:sz w:val="18"/>
      <w:szCs w:val="18"/>
    </w:rPr>
  </w:style>
  <w:style w:type="paragraph" w:styleId="15">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3"/>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unhideWhenUsed/>
    <w:qFormat/>
    <w:uiPriority w:val="99"/>
    <w:rPr>
      <w:sz w:val="16"/>
      <w:szCs w:val="16"/>
    </w:rPr>
  </w:style>
  <w:style w:type="character" w:customStyle="1" w:styleId="23">
    <w:name w:val="标题 1 字符"/>
    <w:basedOn w:val="21"/>
    <w:link w:val="2"/>
    <w:qFormat/>
    <w:uiPriority w:val="0"/>
    <w:rPr>
      <w:rFonts w:ascii="Arial" w:hAnsi="Arial" w:eastAsia="宋体" w:cs="Times New Roman"/>
      <w:b/>
      <w:kern w:val="0"/>
      <w:sz w:val="28"/>
      <w:szCs w:val="20"/>
      <w:lang w:val="en-GB" w:eastAsia="en-US"/>
    </w:rPr>
  </w:style>
  <w:style w:type="paragraph" w:customStyle="1" w:styleId="24">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5">
    <w:name w:val="标题 2 字符"/>
    <w:basedOn w:val="21"/>
    <w:link w:val="3"/>
    <w:qFormat/>
    <w:uiPriority w:val="9"/>
    <w:rPr>
      <w:rFonts w:eastAsia="Times New Roman" w:asciiTheme="majorHAnsi" w:hAnsiTheme="majorHAnsi" w:cstheme="majorBidi"/>
      <w:b/>
      <w:bCs/>
      <w:sz w:val="18"/>
      <w:szCs w:val="32"/>
    </w:rPr>
  </w:style>
  <w:style w:type="character" w:customStyle="1" w:styleId="26">
    <w:name w:val="标题 3 字符"/>
    <w:basedOn w:val="21"/>
    <w:link w:val="4"/>
    <w:semiHidden/>
    <w:qFormat/>
    <w:uiPriority w:val="9"/>
    <w:rPr>
      <w:rFonts w:asciiTheme="minorHAnsi" w:hAnsiTheme="minorHAnsi" w:eastAsiaTheme="minorEastAsia"/>
      <w:b/>
      <w:bCs/>
      <w:sz w:val="32"/>
      <w:szCs w:val="32"/>
    </w:rPr>
  </w:style>
  <w:style w:type="paragraph" w:customStyle="1" w:styleId="27">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8">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9">
    <w:name w:val="List Paragraph"/>
    <w:basedOn w:val="1"/>
    <w:link w:val="30"/>
    <w:qFormat/>
    <w:uiPriority w:val="34"/>
    <w:pPr>
      <w:widowControl/>
      <w:ind w:left="720"/>
      <w:jc w:val="left"/>
    </w:pPr>
    <w:rPr>
      <w:rFonts w:ascii="Calibri" w:hAnsi="Calibri" w:eastAsia="Calibri" w:cs="Times New Roman"/>
      <w:kern w:val="0"/>
      <w:sz w:val="22"/>
      <w:lang w:eastAsia="en-US"/>
    </w:rPr>
  </w:style>
  <w:style w:type="character" w:customStyle="1" w:styleId="30">
    <w:name w:val="列出段落 字符"/>
    <w:link w:val="29"/>
    <w:qFormat/>
    <w:locked/>
    <w:uiPriority w:val="34"/>
    <w:rPr>
      <w:rFonts w:ascii="Calibri" w:hAnsi="Calibri" w:eastAsia="Calibri" w:cs="Times New Roman"/>
      <w:kern w:val="0"/>
      <w:sz w:val="22"/>
      <w:lang w:eastAsia="en-US"/>
    </w:rPr>
  </w:style>
  <w:style w:type="character" w:customStyle="1" w:styleId="31">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2">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3">
    <w:name w:val="标题 6 字符"/>
    <w:basedOn w:val="21"/>
    <w:link w:val="7"/>
    <w:qFormat/>
    <w:uiPriority w:val="0"/>
    <w:rPr>
      <w:rFonts w:ascii="Arial" w:hAnsi="Arial" w:eastAsia="黑体" w:cs="Times New Roman"/>
      <w:b/>
      <w:bCs/>
      <w:kern w:val="0"/>
      <w:sz w:val="24"/>
      <w:szCs w:val="24"/>
      <w:lang w:eastAsia="en-US"/>
    </w:rPr>
  </w:style>
  <w:style w:type="character" w:customStyle="1" w:styleId="34">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5">
    <w:name w:val="标题 8 字符"/>
    <w:basedOn w:val="21"/>
    <w:link w:val="9"/>
    <w:qFormat/>
    <w:uiPriority w:val="0"/>
    <w:rPr>
      <w:rFonts w:ascii="Arial" w:hAnsi="Arial" w:eastAsia="黑体" w:cs="Times New Roman"/>
      <w:kern w:val="0"/>
      <w:sz w:val="24"/>
      <w:szCs w:val="24"/>
      <w:lang w:eastAsia="en-US"/>
    </w:rPr>
  </w:style>
  <w:style w:type="character" w:customStyle="1" w:styleId="36">
    <w:name w:val="标题 9 字符"/>
    <w:basedOn w:val="21"/>
    <w:link w:val="10"/>
    <w:qFormat/>
    <w:uiPriority w:val="0"/>
    <w:rPr>
      <w:rFonts w:ascii="Arial" w:hAnsi="Arial" w:eastAsia="黑体" w:cs="Times New Roman"/>
      <w:kern w:val="0"/>
      <w:szCs w:val="21"/>
      <w:lang w:eastAsia="en-US"/>
    </w:rPr>
  </w:style>
  <w:style w:type="paragraph" w:customStyle="1" w:styleId="37">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8">
    <w:name w:val="B1"/>
    <w:basedOn w:val="16"/>
    <w:qFormat/>
    <w:uiPriority w:val="0"/>
    <w:pPr>
      <w:ind w:left="568" w:hanging="284"/>
    </w:pPr>
  </w:style>
  <w:style w:type="paragraph" w:customStyle="1" w:styleId="39">
    <w:name w:val="NO"/>
    <w:basedOn w:val="1"/>
    <w:qFormat/>
    <w:uiPriority w:val="0"/>
    <w:pPr>
      <w:keepLines/>
      <w:ind w:left="1135" w:hanging="851"/>
    </w:pPr>
  </w:style>
  <w:style w:type="character" w:customStyle="1" w:styleId="40">
    <w:name w:val="页眉 字符"/>
    <w:basedOn w:val="21"/>
    <w:link w:val="15"/>
    <w:qFormat/>
    <w:uiPriority w:val="99"/>
    <w:rPr>
      <w:rFonts w:asciiTheme="minorHAnsi" w:hAnsiTheme="minorHAnsi" w:eastAsiaTheme="minorEastAsia" w:cstheme="minorBidi"/>
      <w:kern w:val="2"/>
      <w:sz w:val="18"/>
      <w:szCs w:val="18"/>
    </w:rPr>
  </w:style>
  <w:style w:type="character" w:customStyle="1" w:styleId="41">
    <w:name w:val="页脚 字符"/>
    <w:basedOn w:val="21"/>
    <w:link w:val="14"/>
    <w:qFormat/>
    <w:uiPriority w:val="99"/>
    <w:rPr>
      <w:rFonts w:asciiTheme="minorHAnsi" w:hAnsiTheme="minorHAnsi" w:eastAsiaTheme="minorEastAsia" w:cstheme="minorBidi"/>
      <w:kern w:val="2"/>
      <w:sz w:val="18"/>
      <w:szCs w:val="18"/>
    </w:rPr>
  </w:style>
  <w:style w:type="character" w:customStyle="1" w:styleId="42">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3">
    <w:name w:val="批注主题 字符"/>
    <w:basedOn w:val="42"/>
    <w:link w:val="18"/>
    <w:semiHidden/>
    <w:qFormat/>
    <w:uiPriority w:val="99"/>
    <w:rPr>
      <w:rFonts w:asciiTheme="minorHAnsi" w:hAnsiTheme="minorHAnsi" w:eastAsiaTheme="minorEastAsia" w:cstheme="minorBidi"/>
      <w:b/>
      <w:bCs/>
      <w:kern w:val="2"/>
      <w:sz w:val="21"/>
      <w:szCs w:val="22"/>
    </w:rPr>
  </w:style>
  <w:style w:type="character" w:customStyle="1" w:styleId="44">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6">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499</Words>
  <Characters>2495</Characters>
  <Lines>84</Lines>
  <Paragraphs>23</Paragraphs>
  <TotalTime>4</TotalTime>
  <ScaleCrop>false</ScaleCrop>
  <LinksUpToDate>false</LinksUpToDate>
  <CharactersWithSpaces>2971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2023-02-17T07:46:00Z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C232C890B7B845FF89637A9B80C59CF4</vt:lpwstr>
  </property>
</Properties>
</file>